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Chars="0"/>
        <w:jc w:val="center"/>
        <w:rPr>
          <w:rFonts w:hint="eastAsia" w:asciiTheme="majorEastAsia" w:hAnsiTheme="majorEastAsia" w:eastAsiaTheme="majorEastAsia" w:cstheme="majorEastAsia"/>
          <w:sz w:val="48"/>
          <w:szCs w:val="48"/>
        </w:rPr>
      </w:pPr>
      <w:bookmarkStart w:id="0" w:name="_Toc15316"/>
      <w:bookmarkStart w:id="1" w:name="_Toc19550"/>
      <w:bookmarkStart w:id="2" w:name="_Toc17170"/>
    </w:p>
    <w:p>
      <w:pPr>
        <w:pStyle w:val="2"/>
        <w:numPr>
          <w:ilvl w:val="0"/>
          <w:numId w:val="0"/>
        </w:numPr>
        <w:ind w:leftChars="0"/>
        <w:jc w:val="center"/>
        <w:rPr>
          <w:rFonts w:hint="eastAsia" w:asciiTheme="majorEastAsia" w:hAnsiTheme="majorEastAsia" w:eastAsiaTheme="majorEastAsia" w:cstheme="majorEastAsia"/>
          <w:sz w:val="48"/>
          <w:szCs w:val="48"/>
        </w:rPr>
      </w:pPr>
    </w:p>
    <w:p>
      <w:pPr>
        <w:pStyle w:val="2"/>
        <w:numPr>
          <w:ilvl w:val="0"/>
          <w:numId w:val="0"/>
        </w:numPr>
        <w:ind w:leftChars="0"/>
        <w:jc w:val="center"/>
        <w:rPr>
          <w:rFonts w:hint="eastAsia" w:asciiTheme="majorEastAsia" w:hAnsiTheme="majorEastAsia" w:eastAsiaTheme="majorEastAsia" w:cstheme="majorEastAsia"/>
          <w:sz w:val="48"/>
          <w:szCs w:val="48"/>
        </w:rPr>
      </w:pPr>
    </w:p>
    <w:p>
      <w:pPr>
        <w:pStyle w:val="2"/>
        <w:numPr>
          <w:ilvl w:val="0"/>
          <w:numId w:val="0"/>
        </w:numPr>
        <w:ind w:leftChars="0"/>
        <w:jc w:val="center"/>
        <w:rPr>
          <w:rFonts w:hint="eastAsia" w:asciiTheme="majorEastAsia" w:hAnsiTheme="majorEastAsia" w:eastAsiaTheme="majorEastAsia" w:cstheme="majorEastAsia"/>
          <w:sz w:val="48"/>
          <w:szCs w:val="48"/>
        </w:rPr>
      </w:pPr>
    </w:p>
    <w:p>
      <w:pPr>
        <w:pStyle w:val="2"/>
        <w:numPr>
          <w:ilvl w:val="0"/>
          <w:numId w:val="0"/>
        </w:numPr>
        <w:ind w:leftChars="0"/>
        <w:jc w:val="center"/>
        <w:rPr>
          <w:rFonts w:hint="eastAsia" w:asciiTheme="majorEastAsia" w:hAnsiTheme="majorEastAsia" w:eastAsiaTheme="majorEastAsia" w:cstheme="majorEastAsia"/>
          <w:sz w:val="48"/>
          <w:szCs w:val="48"/>
        </w:rPr>
      </w:pPr>
      <w:bookmarkStart w:id="14" w:name="_GoBack"/>
      <w:bookmarkEnd w:id="14"/>
      <w:r>
        <w:rPr>
          <w:rFonts w:hint="eastAsia" w:asciiTheme="majorEastAsia" w:hAnsiTheme="majorEastAsia" w:eastAsiaTheme="majorEastAsia" w:cstheme="majorEastAsia"/>
          <w:sz w:val="48"/>
          <w:szCs w:val="48"/>
        </w:rPr>
        <w:t>残疾人按比例就业情况联网认证“跨省通办”系统</w:t>
      </w:r>
      <w:bookmarkEnd w:id="0"/>
      <w:bookmarkEnd w:id="1"/>
      <w:bookmarkEnd w:id="2"/>
    </w:p>
    <w:p>
      <w:pPr>
        <w:pStyle w:val="2"/>
        <w:numPr>
          <w:ilvl w:val="0"/>
          <w:numId w:val="0"/>
        </w:numPr>
        <w:ind w:leftChars="0"/>
        <w:jc w:val="center"/>
        <w:rPr>
          <w:rFonts w:hint="eastAsia" w:asciiTheme="majorEastAsia" w:hAnsiTheme="majorEastAsia" w:eastAsiaTheme="majorEastAsia" w:cstheme="majorEastAsia"/>
          <w:sz w:val="48"/>
          <w:szCs w:val="48"/>
        </w:rPr>
      </w:pPr>
      <w:bookmarkStart w:id="3" w:name="_Toc22272"/>
      <w:bookmarkStart w:id="4" w:name="_Toc22511"/>
      <w:bookmarkStart w:id="5" w:name="_Toc15035"/>
      <w:r>
        <w:rPr>
          <w:rFonts w:hint="eastAsia" w:asciiTheme="majorEastAsia" w:hAnsiTheme="majorEastAsia" w:eastAsiaTheme="majorEastAsia" w:cstheme="majorEastAsia"/>
          <w:sz w:val="48"/>
          <w:szCs w:val="48"/>
        </w:rPr>
        <w:t>用人单位缓减免预约指引</w:t>
      </w:r>
      <w:bookmarkEnd w:id="3"/>
      <w:bookmarkEnd w:id="4"/>
      <w:bookmarkEnd w:id="5"/>
    </w:p>
    <w:p>
      <w:pPr>
        <w:pStyle w:val="2"/>
        <w:numPr>
          <w:ilvl w:val="0"/>
          <w:numId w:val="0"/>
        </w:numPr>
        <w:ind w:leftChars="0"/>
        <w:jc w:val="center"/>
        <w:rPr>
          <w:rFonts w:hint="eastAsia" w:asciiTheme="majorEastAsia" w:hAnsiTheme="majorEastAsia" w:eastAsiaTheme="majorEastAsia" w:cstheme="majorEastAsia"/>
          <w:sz w:val="48"/>
          <w:szCs w:val="48"/>
          <w:lang w:val="en-US" w:eastAsia="zh-CN"/>
        </w:rPr>
        <w:sectPr>
          <w:pgSz w:w="16838" w:h="11906" w:orient="landscape"/>
          <w:pgMar w:top="720" w:right="720" w:bottom="720" w:left="720" w:header="851" w:footer="992" w:gutter="0"/>
          <w:cols w:space="425" w:num="1"/>
          <w:docGrid w:type="lines" w:linePitch="312" w:charSpace="0"/>
        </w:sectPr>
      </w:pPr>
      <w:bookmarkStart w:id="6" w:name="_Toc10414"/>
      <w:bookmarkStart w:id="7" w:name="_Toc19371"/>
      <w:bookmarkStart w:id="8" w:name="_Toc5555"/>
      <w:r>
        <w:rPr>
          <w:rFonts w:hint="eastAsia" w:asciiTheme="majorEastAsia" w:hAnsiTheme="majorEastAsia" w:eastAsiaTheme="majorEastAsia" w:cstheme="majorEastAsia"/>
          <w:sz w:val="48"/>
          <w:szCs w:val="48"/>
          <w:lang w:val="en-US" w:eastAsia="zh-CN"/>
        </w:rPr>
        <w:t>V1.0</w:t>
      </w:r>
      <w:bookmarkEnd w:id="6"/>
      <w:bookmarkEnd w:id="7"/>
      <w:bookmarkEnd w:id="8"/>
    </w:p>
    <w:sdt>
      <w:sdtPr>
        <w:rPr>
          <w:rFonts w:ascii="宋体" w:hAnsi="宋体" w:eastAsia="宋体" w:cstheme="minorBidi"/>
          <w:kern w:val="2"/>
          <w:sz w:val="21"/>
          <w:szCs w:val="24"/>
          <w:lang w:val="en-US" w:eastAsia="zh-CN" w:bidi="ar-SA"/>
        </w:rPr>
        <w:id w:val="147466797"/>
        <w15:color w:val="DBDBDB"/>
        <w:docPartObj>
          <w:docPartGallery w:val="Table of Contents"/>
          <w:docPartUnique/>
        </w:docPartObj>
      </w:sdtPr>
      <w:sdtEndPr>
        <w:rPr>
          <w:rFonts w:hint="eastAsia"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6"/>
            <w:tabs>
              <w:tab w:val="right" w:leader="dot" w:pos="15398"/>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pPr>
            <w:pStyle w:val="16"/>
            <w:tabs>
              <w:tab w:val="right" w:leader="dot" w:pos="15398"/>
            </w:tabs>
          </w:pPr>
          <w:r>
            <w:rPr>
              <w:rFonts w:hint="eastAsia"/>
              <w:lang w:val="en-US" w:eastAsia="zh-CN"/>
            </w:rPr>
            <w:fldChar w:fldCharType="begin"/>
          </w:r>
          <w:r>
            <w:rPr>
              <w:rFonts w:hint="eastAsia"/>
              <w:lang w:val="en-US" w:eastAsia="zh-CN"/>
            </w:rPr>
            <w:instrText xml:space="preserve"> HYPERLINK \l _Toc7782 </w:instrText>
          </w:r>
          <w:r>
            <w:rPr>
              <w:rFonts w:hint="eastAsia"/>
              <w:lang w:val="en-US" w:eastAsia="zh-CN"/>
            </w:rPr>
            <w:fldChar w:fldCharType="separate"/>
          </w:r>
          <w:r>
            <w:rPr>
              <w:rFonts w:hint="default"/>
            </w:rPr>
            <w:t xml:space="preserve">一、 </w:t>
          </w:r>
          <w:r>
            <w:rPr>
              <w:rFonts w:hint="eastAsia"/>
            </w:rPr>
            <w:t>登录指引</w:t>
          </w:r>
          <w:r>
            <w:tab/>
          </w:r>
          <w:r>
            <w:fldChar w:fldCharType="begin"/>
          </w:r>
          <w:r>
            <w:instrText xml:space="preserve"> PAGEREF _Toc7782 \h </w:instrText>
          </w:r>
          <w:r>
            <w:fldChar w:fldCharType="separate"/>
          </w:r>
          <w:r>
            <w:t>3</w:t>
          </w:r>
          <w:r>
            <w:fldChar w:fldCharType="end"/>
          </w:r>
          <w:r>
            <w:rPr>
              <w:rFonts w:hint="eastAsia"/>
              <w:lang w:val="en-US" w:eastAsia="zh-CN"/>
            </w:rPr>
            <w:fldChar w:fldCharType="end"/>
          </w:r>
        </w:p>
        <w:p>
          <w:pPr>
            <w:pStyle w:val="16"/>
            <w:tabs>
              <w:tab w:val="right" w:leader="dot" w:pos="15398"/>
            </w:tabs>
          </w:pPr>
          <w:r>
            <w:rPr>
              <w:rFonts w:hint="eastAsia"/>
              <w:lang w:val="en-US" w:eastAsia="zh-CN"/>
            </w:rPr>
            <w:fldChar w:fldCharType="begin"/>
          </w:r>
          <w:r>
            <w:rPr>
              <w:rFonts w:hint="eastAsia"/>
              <w:lang w:val="en-US" w:eastAsia="zh-CN"/>
            </w:rPr>
            <w:instrText xml:space="preserve"> HYPERLINK \l _Toc22823 </w:instrText>
          </w:r>
          <w:r>
            <w:rPr>
              <w:rFonts w:hint="eastAsia"/>
              <w:lang w:val="en-US" w:eastAsia="zh-CN"/>
            </w:rPr>
            <w:fldChar w:fldCharType="separate"/>
          </w:r>
          <w:r>
            <w:rPr>
              <w:rFonts w:hint="default"/>
            </w:rPr>
            <w:t xml:space="preserve">二、 </w:t>
          </w:r>
          <w:r>
            <w:rPr>
              <w:rFonts w:hint="eastAsia"/>
            </w:rPr>
            <w:t>缓减免预约</w:t>
          </w:r>
          <w:r>
            <w:tab/>
          </w:r>
          <w:r>
            <w:fldChar w:fldCharType="begin"/>
          </w:r>
          <w:r>
            <w:instrText xml:space="preserve"> PAGEREF _Toc22823 \h </w:instrText>
          </w:r>
          <w:r>
            <w:fldChar w:fldCharType="separate"/>
          </w:r>
          <w:r>
            <w:t>5</w:t>
          </w:r>
          <w:r>
            <w:fldChar w:fldCharType="end"/>
          </w:r>
          <w:r>
            <w:rPr>
              <w:rFonts w:hint="eastAsia"/>
              <w:lang w:val="en-US" w:eastAsia="zh-CN"/>
            </w:rPr>
            <w:fldChar w:fldCharType="end"/>
          </w:r>
        </w:p>
        <w:p>
          <w:pPr>
            <w:pStyle w:val="17"/>
            <w:tabs>
              <w:tab w:val="right" w:leader="dot" w:pos="15398"/>
            </w:tabs>
          </w:pPr>
          <w:r>
            <w:rPr>
              <w:rFonts w:hint="eastAsia"/>
              <w:lang w:val="en-US" w:eastAsia="zh-CN"/>
            </w:rPr>
            <w:fldChar w:fldCharType="begin"/>
          </w:r>
          <w:r>
            <w:rPr>
              <w:rFonts w:hint="eastAsia"/>
              <w:lang w:val="en-US" w:eastAsia="zh-CN"/>
            </w:rPr>
            <w:instrText xml:space="preserve"> HYPERLINK \l _Toc1351 </w:instrText>
          </w:r>
          <w:r>
            <w:rPr>
              <w:rFonts w:hint="eastAsia"/>
              <w:lang w:val="en-US" w:eastAsia="zh-CN"/>
            </w:rPr>
            <w:fldChar w:fldCharType="separate"/>
          </w:r>
          <w:r>
            <w:rPr>
              <w:rFonts w:hint="eastAsia" w:ascii="仿宋_GB2312" w:hAnsi="Arial" w:eastAsia="仿宋_GB2312"/>
              <w:szCs w:val="28"/>
            </w:rPr>
            <w:t>1</w:t>
          </w:r>
          <w:r>
            <w:rPr>
              <w:rFonts w:ascii="仿宋_GB2312" w:hAnsi="Arial" w:eastAsia="仿宋_GB2312"/>
              <w:szCs w:val="28"/>
            </w:rPr>
            <w:t>、类型选择</w:t>
          </w:r>
          <w:r>
            <w:tab/>
          </w:r>
          <w:r>
            <w:fldChar w:fldCharType="begin"/>
          </w:r>
          <w:r>
            <w:instrText xml:space="preserve"> PAGEREF _Toc1351 \h </w:instrText>
          </w:r>
          <w:r>
            <w:fldChar w:fldCharType="separate"/>
          </w:r>
          <w:r>
            <w:t>5</w:t>
          </w:r>
          <w:r>
            <w:fldChar w:fldCharType="end"/>
          </w:r>
          <w:r>
            <w:rPr>
              <w:rFonts w:hint="eastAsia"/>
              <w:lang w:val="en-US" w:eastAsia="zh-CN"/>
            </w:rPr>
            <w:fldChar w:fldCharType="end"/>
          </w:r>
        </w:p>
        <w:p>
          <w:pPr>
            <w:pStyle w:val="17"/>
            <w:tabs>
              <w:tab w:val="right" w:leader="dot" w:pos="15398"/>
            </w:tabs>
          </w:pPr>
          <w:r>
            <w:rPr>
              <w:rFonts w:hint="eastAsia"/>
              <w:lang w:val="en-US" w:eastAsia="zh-CN"/>
            </w:rPr>
            <w:fldChar w:fldCharType="begin"/>
          </w:r>
          <w:r>
            <w:rPr>
              <w:rFonts w:hint="eastAsia"/>
              <w:lang w:val="en-US" w:eastAsia="zh-CN"/>
            </w:rPr>
            <w:instrText xml:space="preserve"> HYPERLINK \l _Toc6897 </w:instrText>
          </w:r>
          <w:r>
            <w:rPr>
              <w:rFonts w:hint="eastAsia"/>
              <w:lang w:val="en-US" w:eastAsia="zh-CN"/>
            </w:rPr>
            <w:fldChar w:fldCharType="separate"/>
          </w:r>
          <w:r>
            <w:rPr>
              <w:rFonts w:ascii="仿宋_GB2312" w:hAnsi="Arial" w:eastAsia="仿宋_GB2312"/>
              <w:szCs w:val="28"/>
            </w:rPr>
            <w:t>2、条件选择</w:t>
          </w:r>
          <w:r>
            <w:tab/>
          </w:r>
          <w:r>
            <w:fldChar w:fldCharType="begin"/>
          </w:r>
          <w:r>
            <w:instrText xml:space="preserve"> PAGEREF _Toc6897 \h </w:instrText>
          </w:r>
          <w:r>
            <w:fldChar w:fldCharType="separate"/>
          </w:r>
          <w:r>
            <w:t>6</w:t>
          </w:r>
          <w:r>
            <w:fldChar w:fldCharType="end"/>
          </w:r>
          <w:r>
            <w:rPr>
              <w:rFonts w:hint="eastAsia"/>
              <w:lang w:val="en-US" w:eastAsia="zh-CN"/>
            </w:rPr>
            <w:fldChar w:fldCharType="end"/>
          </w:r>
        </w:p>
        <w:p>
          <w:pPr>
            <w:pStyle w:val="17"/>
            <w:tabs>
              <w:tab w:val="right" w:leader="dot" w:pos="15398"/>
            </w:tabs>
          </w:pPr>
          <w:r>
            <w:rPr>
              <w:rFonts w:hint="eastAsia"/>
              <w:lang w:val="en-US" w:eastAsia="zh-CN"/>
            </w:rPr>
            <w:fldChar w:fldCharType="begin"/>
          </w:r>
          <w:r>
            <w:rPr>
              <w:rFonts w:hint="eastAsia"/>
              <w:lang w:val="en-US" w:eastAsia="zh-CN"/>
            </w:rPr>
            <w:instrText xml:space="preserve"> HYPERLINK \l _Toc15941 </w:instrText>
          </w:r>
          <w:r>
            <w:rPr>
              <w:rFonts w:hint="eastAsia"/>
              <w:lang w:val="en-US" w:eastAsia="zh-CN"/>
            </w:rPr>
            <w:fldChar w:fldCharType="separate"/>
          </w:r>
          <w:r>
            <w:rPr>
              <w:rFonts w:hint="eastAsia" w:ascii="仿宋_GB2312" w:hAnsi="Arial" w:eastAsia="仿宋_GB2312"/>
              <w:szCs w:val="28"/>
            </w:rPr>
            <w:t>3</w:t>
          </w:r>
          <w:r>
            <w:rPr>
              <w:rFonts w:ascii="仿宋_GB2312" w:hAnsi="Arial" w:eastAsia="仿宋_GB2312"/>
              <w:szCs w:val="28"/>
            </w:rPr>
            <w:t>、信息登记</w:t>
          </w:r>
          <w:r>
            <w:tab/>
          </w:r>
          <w:r>
            <w:fldChar w:fldCharType="begin"/>
          </w:r>
          <w:r>
            <w:instrText xml:space="preserve"> PAGEREF _Toc15941 \h </w:instrText>
          </w:r>
          <w:r>
            <w:fldChar w:fldCharType="separate"/>
          </w:r>
          <w:r>
            <w:t>9</w:t>
          </w:r>
          <w:r>
            <w:fldChar w:fldCharType="end"/>
          </w:r>
          <w:r>
            <w:rPr>
              <w:rFonts w:hint="eastAsia"/>
              <w:lang w:val="en-US" w:eastAsia="zh-CN"/>
            </w:rPr>
            <w:fldChar w:fldCharType="end"/>
          </w:r>
        </w:p>
        <w:p>
          <w:pPr>
            <w:rPr>
              <w:rFonts w:hint="eastAsia"/>
              <w:lang w:val="en-US" w:eastAsia="zh-CN"/>
            </w:rPr>
            <w:sectPr>
              <w:pgSz w:w="16838" w:h="11906" w:orient="landscape"/>
              <w:pgMar w:top="720" w:right="720" w:bottom="720" w:left="720" w:header="851" w:footer="992" w:gutter="0"/>
              <w:cols w:space="425" w:num="1"/>
              <w:docGrid w:type="lines" w:linePitch="312" w:charSpace="0"/>
            </w:sectPr>
          </w:pPr>
          <w:r>
            <w:rPr>
              <w:rFonts w:hint="eastAsia"/>
              <w:lang w:val="en-US" w:eastAsia="zh-CN"/>
            </w:rPr>
            <w:fldChar w:fldCharType="end"/>
          </w:r>
        </w:p>
      </w:sdtContent>
    </w:sdt>
    <w:p>
      <w:pPr>
        <w:pStyle w:val="2"/>
        <w:numPr>
          <w:ilvl w:val="0"/>
          <w:numId w:val="2"/>
        </w:numPr>
      </w:pPr>
      <w:bookmarkStart w:id="9" w:name="_Toc7782"/>
      <w:r>
        <w:rPr>
          <w:rFonts w:hint="eastAsia"/>
        </w:rPr>
        <w:t>登录指引</w:t>
      </w:r>
      <w:bookmarkEnd w:id="9"/>
    </w:p>
    <w:p>
      <w:pPr>
        <w:pStyle w:val="15"/>
        <w:ind w:left="360" w:firstLine="0" w:firstLineChars="0"/>
        <w:rPr>
          <w:rFonts w:ascii="宋体" w:hAnsi="宋体" w:eastAsia="宋体"/>
          <w:sz w:val="28"/>
          <w:szCs w:val="32"/>
        </w:rPr>
      </w:pPr>
      <w:r>
        <w:rPr>
          <w:rFonts w:hint="eastAsia" w:ascii="宋体" w:hAnsi="宋体" w:eastAsia="宋体"/>
          <w:sz w:val="28"/>
          <w:szCs w:val="32"/>
        </w:rPr>
        <w:t>1）、单位在广东省网上办事大厅系统中找到“全国残疾人按比例就业情况联网认证”事项。</w:t>
      </w:r>
    </w:p>
    <w:p>
      <w:pPr>
        <w:pStyle w:val="15"/>
        <w:ind w:left="360" w:firstLine="0" w:firstLineChars="0"/>
        <w:rPr>
          <w:rFonts w:ascii="宋体" w:hAnsi="宋体" w:eastAsia="宋体"/>
          <w:sz w:val="28"/>
          <w:szCs w:val="32"/>
        </w:rPr>
      </w:pPr>
      <w:r>
        <w:rPr>
          <w:rFonts w:hint="eastAsia" w:ascii="宋体" w:hAnsi="宋体" w:eastAsia="宋体"/>
          <w:sz w:val="28"/>
          <w:szCs w:val="32"/>
        </w:rPr>
        <w:t>网址：</w:t>
      </w:r>
      <w:r>
        <w:fldChar w:fldCharType="begin"/>
      </w:r>
      <w:r>
        <w:instrText xml:space="preserve"> HYPERLINK "https://www.gdzwfw.gov.cn/" </w:instrText>
      </w:r>
      <w:r>
        <w:fldChar w:fldCharType="separate"/>
      </w:r>
      <w:r>
        <w:rPr>
          <w:rStyle w:val="10"/>
          <w:rFonts w:ascii="宋体" w:hAnsi="宋体" w:eastAsia="宋体"/>
          <w:sz w:val="28"/>
          <w:szCs w:val="32"/>
        </w:rPr>
        <w:t>https://www.gdzwfw.gov.cn/</w:t>
      </w:r>
      <w:r>
        <w:rPr>
          <w:rStyle w:val="10"/>
          <w:rFonts w:ascii="宋体" w:hAnsi="宋体" w:eastAsia="宋体"/>
          <w:sz w:val="28"/>
          <w:szCs w:val="32"/>
        </w:rPr>
        <w:fldChar w:fldCharType="end"/>
      </w:r>
      <w:r>
        <w:rPr>
          <w:rFonts w:ascii="宋体" w:hAnsi="宋体" w:eastAsia="宋体"/>
          <w:sz w:val="28"/>
          <w:szCs w:val="32"/>
        </w:rPr>
        <w:t xml:space="preserve"> </w:t>
      </w:r>
    </w:p>
    <w:p>
      <w:pPr>
        <w:pStyle w:val="15"/>
        <w:ind w:left="360" w:firstLine="0" w:firstLineChars="0"/>
        <w:jc w:val="left"/>
        <w:rPr>
          <w:rFonts w:ascii="宋体" w:hAnsi="宋体" w:eastAsia="宋体"/>
          <w:sz w:val="28"/>
          <w:szCs w:val="32"/>
        </w:rPr>
      </w:pPr>
      <w:r>
        <w:drawing>
          <wp:inline distT="0" distB="0" distL="0" distR="0">
            <wp:extent cx="5274310" cy="31337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3133725"/>
                    </a:xfrm>
                    <a:prstGeom prst="rect">
                      <a:avLst/>
                    </a:prstGeom>
                  </pic:spPr>
                </pic:pic>
              </a:graphicData>
            </a:graphic>
          </wp:inline>
        </w:drawing>
      </w:r>
    </w:p>
    <w:p>
      <w:pPr>
        <w:pStyle w:val="15"/>
        <w:ind w:left="360" w:firstLine="0" w:firstLineChars="0"/>
        <w:rPr>
          <w:rFonts w:ascii="宋体" w:hAnsi="宋体" w:eastAsia="宋体"/>
          <w:sz w:val="28"/>
          <w:szCs w:val="32"/>
        </w:rPr>
      </w:pPr>
      <w:r>
        <w:rPr>
          <w:rFonts w:hint="eastAsia" w:ascii="宋体" w:hAnsi="宋体" w:eastAsia="宋体"/>
          <w:sz w:val="28"/>
          <w:szCs w:val="32"/>
        </w:rPr>
        <w:t>2）、在搜索框搜索“全国残疾人按比例就业情况联网认证”，找到对应事项，点击在线办理。</w:t>
      </w:r>
    </w:p>
    <w:p>
      <w:pPr>
        <w:pStyle w:val="15"/>
        <w:ind w:left="360" w:firstLine="0" w:firstLineChars="0"/>
        <w:rPr>
          <w:rFonts w:ascii="宋体" w:hAnsi="宋体" w:eastAsia="宋体"/>
          <w:sz w:val="28"/>
          <w:szCs w:val="32"/>
        </w:rPr>
      </w:pPr>
      <w:r>
        <w:t xml:space="preserve"> </w:t>
      </w:r>
      <w:r>
        <w:drawing>
          <wp:inline distT="0" distB="0" distL="0" distR="0">
            <wp:extent cx="5274310" cy="25717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
                    <a:stretch>
                      <a:fillRect/>
                    </a:stretch>
                  </pic:blipFill>
                  <pic:spPr>
                    <a:xfrm>
                      <a:off x="0" y="0"/>
                      <a:ext cx="5274310" cy="2571750"/>
                    </a:xfrm>
                    <a:prstGeom prst="rect">
                      <a:avLst/>
                    </a:prstGeom>
                  </pic:spPr>
                </pic:pic>
              </a:graphicData>
            </a:graphic>
          </wp:inline>
        </w:drawing>
      </w:r>
    </w:p>
    <w:p>
      <w:pPr>
        <w:pStyle w:val="15"/>
        <w:ind w:left="360" w:firstLine="0" w:firstLineChars="0"/>
        <w:rPr>
          <w:rFonts w:ascii="宋体" w:hAnsi="宋体" w:eastAsia="宋体"/>
          <w:sz w:val="28"/>
          <w:szCs w:val="32"/>
        </w:rPr>
      </w:pPr>
      <w:r>
        <w:rPr>
          <w:rFonts w:hint="eastAsia" w:ascii="宋体" w:hAnsi="宋体" w:eastAsia="宋体"/>
          <w:sz w:val="28"/>
          <w:szCs w:val="32"/>
        </w:rPr>
        <w:t>3）、选择对应行政区域后，进入登录页面，输入法人账号信息后登录系统，选择“我要申报”。</w:t>
      </w:r>
    </w:p>
    <w:p>
      <w:pPr>
        <w:rPr>
          <w:rFonts w:ascii="宋体" w:hAnsi="宋体" w:eastAsia="宋体"/>
          <w:sz w:val="28"/>
          <w:szCs w:val="32"/>
        </w:rPr>
      </w:pPr>
      <w:r>
        <w:t xml:space="preserve"> </w:t>
      </w:r>
      <w:r>
        <w:drawing>
          <wp:inline distT="0" distB="0" distL="0" distR="0">
            <wp:extent cx="5274310" cy="213931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139315"/>
                    </a:xfrm>
                    <a:prstGeom prst="rect">
                      <a:avLst/>
                    </a:prstGeom>
                  </pic:spPr>
                </pic:pic>
              </a:graphicData>
            </a:graphic>
          </wp:inline>
        </w:drawing>
      </w:r>
    </w:p>
    <w:p>
      <w:pPr>
        <w:rPr>
          <w:rFonts w:ascii="宋体" w:hAnsi="宋体" w:eastAsia="宋体"/>
          <w:sz w:val="28"/>
          <w:szCs w:val="32"/>
        </w:rPr>
      </w:pPr>
      <w:r>
        <w:rPr>
          <w:rFonts w:hint="eastAsia" w:ascii="宋体" w:hAnsi="宋体" w:eastAsia="宋体"/>
          <w:sz w:val="28"/>
          <w:szCs w:val="32"/>
        </w:rPr>
        <w:t>4）、进入系统页面后，提示“申报单位在申报残疾人按比例就业联网认证时应对申报材料的真实合法性进行严格核实，全国残疾人按比例就业情况联网认证系统已与相关监督管理部门进行数据联网，用人单位或劳务派遣组织在申报残疾人就业联网认证过程中如存在虚假就业、虚假申报、重复就业（一名残疾人同时间段被多家用人单位或劳务派遣组织进行虚假就业安置）等情况的，相关法律责任由申报单位自行承担。”，请仔细阅读后办理；</w:t>
      </w:r>
    </w:p>
    <w:p>
      <w:pPr>
        <w:rPr>
          <w:rFonts w:ascii="仿宋_GB2312" w:eastAsia="仿宋_GB2312"/>
          <w:sz w:val="28"/>
          <w:szCs w:val="28"/>
        </w:rPr>
      </w:pPr>
      <w:r>
        <w:drawing>
          <wp:inline distT="0" distB="0" distL="0" distR="0">
            <wp:extent cx="5274310" cy="275209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tretch>
                      <a:fillRect/>
                    </a:stretch>
                  </pic:blipFill>
                  <pic:spPr>
                    <a:xfrm>
                      <a:off x="0" y="0"/>
                      <a:ext cx="5274310" cy="2752090"/>
                    </a:xfrm>
                    <a:prstGeom prst="rect">
                      <a:avLst/>
                    </a:prstGeom>
                  </pic:spPr>
                </pic:pic>
              </a:graphicData>
            </a:graphic>
          </wp:inline>
        </w:drawing>
      </w:r>
    </w:p>
    <w:p>
      <w:pPr>
        <w:pStyle w:val="2"/>
        <w:numPr>
          <w:ilvl w:val="0"/>
          <w:numId w:val="2"/>
        </w:numPr>
      </w:pPr>
      <w:bookmarkStart w:id="10" w:name="_Toc22823"/>
      <w:r>
        <w:rPr>
          <w:rFonts w:hint="eastAsia"/>
        </w:rPr>
        <w:t>缓减免预约</w:t>
      </w:r>
      <w:bookmarkEnd w:id="10"/>
    </w:p>
    <w:p>
      <w:pPr>
        <w:outlineLvl w:val="1"/>
        <w:rPr>
          <w:rFonts w:ascii="仿宋_GB2312" w:hAnsi="Arial" w:eastAsia="仿宋_GB2312"/>
          <w:b/>
          <w:sz w:val="28"/>
          <w:szCs w:val="28"/>
        </w:rPr>
      </w:pPr>
      <w:bookmarkStart w:id="11" w:name="_Toc1351"/>
      <w:r>
        <w:rPr>
          <w:rFonts w:hint="eastAsia" w:ascii="仿宋_GB2312" w:hAnsi="Arial" w:eastAsia="仿宋_GB2312"/>
          <w:b/>
          <w:sz w:val="28"/>
          <w:szCs w:val="28"/>
        </w:rPr>
        <w:t>1</w:t>
      </w:r>
      <w:r>
        <w:rPr>
          <w:rFonts w:ascii="仿宋_GB2312" w:hAnsi="Arial" w:eastAsia="仿宋_GB2312"/>
          <w:b/>
          <w:sz w:val="28"/>
          <w:szCs w:val="28"/>
        </w:rPr>
        <w:t>、类型选择</w:t>
      </w:r>
      <w:bookmarkEnd w:id="11"/>
    </w:p>
    <w:p>
      <w:pPr>
        <w:rPr>
          <w:rFonts w:ascii="仿宋_GB2312" w:eastAsia="仿宋_GB2312"/>
          <w:sz w:val="28"/>
          <w:szCs w:val="28"/>
        </w:rPr>
      </w:pPr>
      <w:r>
        <w:rPr>
          <w:rFonts w:hint="eastAsia" w:ascii="仿宋_GB2312" w:eastAsia="仿宋_GB2312"/>
          <w:sz w:val="28"/>
          <w:szCs w:val="28"/>
        </w:rPr>
        <w:t>1）、用人单位在网办系统进行预约登记,办理前先阅读</w:t>
      </w:r>
      <w:r>
        <w:rPr>
          <w:rFonts w:ascii="仿宋_GB2312" w:eastAsia="仿宋_GB2312"/>
          <w:sz w:val="28"/>
          <w:szCs w:val="28"/>
        </w:rPr>
        <w:t>缓减免政策</w:t>
      </w:r>
      <w:r>
        <w:rPr>
          <w:rFonts w:hint="eastAsia" w:ascii="仿宋_GB2312" w:eastAsia="仿宋_GB2312"/>
          <w:sz w:val="28"/>
          <w:szCs w:val="28"/>
        </w:rPr>
        <w:t>，选择</w:t>
      </w:r>
      <w:r>
        <w:rPr>
          <w:rFonts w:ascii="仿宋_GB2312" w:eastAsia="仿宋_GB2312"/>
          <w:sz w:val="28"/>
          <w:szCs w:val="28"/>
        </w:rPr>
        <w:t>缓减免类型</w:t>
      </w:r>
      <w:r>
        <w:rPr>
          <w:rFonts w:hint="eastAsia" w:ascii="仿宋_GB2312" w:eastAsia="仿宋_GB2312"/>
          <w:sz w:val="28"/>
          <w:szCs w:val="28"/>
        </w:rPr>
        <w:t>缓缴、减缴、免缴。（如下图所示）</w:t>
      </w:r>
    </w:p>
    <w:p>
      <w:r>
        <w:drawing>
          <wp:inline distT="0" distB="0" distL="0" distR="0">
            <wp:extent cx="9777730" cy="40138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9777730" cy="4013835"/>
                    </a:xfrm>
                    <a:prstGeom prst="rect">
                      <a:avLst/>
                    </a:prstGeom>
                  </pic:spPr>
                </pic:pic>
              </a:graphicData>
            </a:graphic>
          </wp:inline>
        </w:drawing>
      </w:r>
      <w:r>
        <w:t xml:space="preserve"> </w:t>
      </w:r>
    </w:p>
    <w:p>
      <w:pPr>
        <w:rPr>
          <w:rFonts w:ascii="仿宋_GB2312" w:eastAsia="仿宋_GB2312"/>
          <w:sz w:val="28"/>
          <w:szCs w:val="28"/>
        </w:rPr>
      </w:pPr>
      <w:r>
        <w:drawing>
          <wp:inline distT="0" distB="0" distL="0" distR="0">
            <wp:extent cx="9777730" cy="16700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9777730" cy="1670050"/>
                    </a:xfrm>
                    <a:prstGeom prst="rect">
                      <a:avLst/>
                    </a:prstGeom>
                  </pic:spPr>
                </pic:pic>
              </a:graphicData>
            </a:graphic>
          </wp:inline>
        </w:drawing>
      </w:r>
    </w:p>
    <w:p>
      <w:pPr>
        <w:outlineLvl w:val="1"/>
        <w:rPr>
          <w:rFonts w:ascii="仿宋_GB2312" w:hAnsi="Arial" w:eastAsia="仿宋_GB2312"/>
          <w:b/>
          <w:sz w:val="28"/>
          <w:szCs w:val="28"/>
        </w:rPr>
      </w:pPr>
      <w:bookmarkStart w:id="12" w:name="_Toc6897"/>
      <w:r>
        <w:rPr>
          <w:rFonts w:ascii="仿宋_GB2312" w:hAnsi="Arial" w:eastAsia="仿宋_GB2312"/>
          <w:b/>
          <w:sz w:val="28"/>
          <w:szCs w:val="28"/>
        </w:rPr>
        <w:t>2、条件选择</w:t>
      </w:r>
      <w:bookmarkEnd w:id="12"/>
    </w:p>
    <w:p>
      <w:pPr>
        <w:rPr>
          <w:rFonts w:ascii="仿宋_GB2312" w:eastAsia="仿宋_GB2312"/>
          <w:sz w:val="28"/>
          <w:szCs w:val="28"/>
        </w:rPr>
      </w:pPr>
      <w:r>
        <w:rPr>
          <w:rFonts w:ascii="仿宋_GB2312" w:eastAsia="仿宋_GB2312"/>
          <w:sz w:val="28"/>
          <w:szCs w:val="28"/>
        </w:rPr>
        <w:t>1）缓缴中申请须提交材料，均为必须提交材料，此处全选</w:t>
      </w:r>
    </w:p>
    <w:p>
      <w:pPr>
        <w:rPr>
          <w:rFonts w:ascii="仿宋_GB2312" w:eastAsia="仿宋_GB2312"/>
          <w:sz w:val="28"/>
          <w:szCs w:val="28"/>
        </w:rPr>
      </w:pPr>
      <w:r>
        <w:drawing>
          <wp:inline distT="0" distB="0" distL="0" distR="0">
            <wp:extent cx="9777730" cy="372554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9777730" cy="3725545"/>
                    </a:xfrm>
                    <a:prstGeom prst="rect">
                      <a:avLst/>
                    </a:prstGeom>
                  </pic:spPr>
                </pic:pic>
              </a:graphicData>
            </a:graphic>
          </wp:inline>
        </w:drawing>
      </w:r>
      <w:r>
        <w:rPr>
          <w:rFonts w:hint="eastAsia" w:ascii="仿宋_GB2312" w:eastAsia="仿宋_GB2312"/>
          <w:sz w:val="28"/>
          <w:szCs w:val="28"/>
        </w:rPr>
        <w:t xml:space="preserve"> </w:t>
      </w:r>
    </w:p>
    <w:p>
      <w:pPr>
        <w:rPr>
          <w:rFonts w:ascii="仿宋_GB2312" w:eastAsia="仿宋_GB2312"/>
          <w:sz w:val="28"/>
          <w:szCs w:val="28"/>
        </w:rPr>
      </w:pPr>
      <w:r>
        <w:rPr>
          <w:rFonts w:ascii="仿宋_GB2312" w:eastAsia="仿宋_GB2312"/>
          <w:sz w:val="28"/>
          <w:szCs w:val="28"/>
        </w:rPr>
        <w:t>2）减缴条件分为两种：第一种</w:t>
      </w:r>
      <w:r>
        <w:rPr>
          <w:rFonts w:hint="eastAsia" w:ascii="仿宋_GB2312" w:eastAsia="仿宋_GB2312"/>
          <w:sz w:val="28"/>
          <w:szCs w:val="28"/>
        </w:rPr>
        <w:t>申请</w:t>
      </w:r>
      <w:r>
        <w:rPr>
          <w:rFonts w:ascii="仿宋_GB2312" w:eastAsia="仿宋_GB2312"/>
          <w:sz w:val="28"/>
          <w:szCs w:val="28"/>
        </w:rPr>
        <w:t>材料都要提交。第二种情况在需提交材料中，</w:t>
      </w:r>
      <w:r>
        <w:rPr>
          <w:rFonts w:hint="eastAsia" w:ascii="仿宋_GB2312" w:eastAsia="仿宋_GB2312"/>
          <w:sz w:val="28"/>
          <w:szCs w:val="28"/>
        </w:rPr>
        <w:t>遇不可抗力自然灾害或突发事件遭受重大直接经济损失等的相关有效证明材料</w:t>
      </w:r>
      <w:r>
        <w:rPr>
          <w:rFonts w:ascii="仿宋_GB2312" w:eastAsia="仿宋_GB2312"/>
          <w:sz w:val="28"/>
          <w:szCs w:val="28"/>
        </w:rPr>
        <w:t>不用提交。</w:t>
      </w:r>
    </w:p>
    <w:p>
      <w:pPr>
        <w:rPr>
          <w:rFonts w:ascii="仿宋_GB2312" w:eastAsia="仿宋_GB2312"/>
          <w:sz w:val="28"/>
          <w:szCs w:val="28"/>
        </w:rPr>
      </w:pPr>
      <w:r>
        <w:drawing>
          <wp:inline distT="0" distB="0" distL="0" distR="0">
            <wp:extent cx="9777730" cy="3848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9777730" cy="3848100"/>
                    </a:xfrm>
                    <a:prstGeom prst="rect">
                      <a:avLst/>
                    </a:prstGeom>
                  </pic:spPr>
                </pic:pic>
              </a:graphicData>
            </a:graphic>
          </wp:inline>
        </w:drawing>
      </w:r>
      <w:r>
        <w:t xml:space="preserve">   </w:t>
      </w:r>
    </w:p>
    <w:p>
      <w:pPr>
        <w:rPr>
          <w:rFonts w:hint="eastAsia" w:ascii="仿宋_GB2312" w:eastAsia="仿宋_GB2312"/>
          <w:sz w:val="28"/>
          <w:szCs w:val="28"/>
        </w:rPr>
      </w:pPr>
      <w:r>
        <w:rPr>
          <w:rFonts w:hint="eastAsia" w:ascii="仿宋_GB2312" w:eastAsia="仿宋_GB2312"/>
          <w:sz w:val="28"/>
          <w:szCs w:val="28"/>
        </w:rPr>
        <w:t>3</w:t>
      </w:r>
      <w:r>
        <w:rPr>
          <w:rFonts w:ascii="仿宋_GB2312" w:eastAsia="仿宋_GB2312"/>
          <w:sz w:val="28"/>
          <w:szCs w:val="28"/>
        </w:rPr>
        <w:t>）免缴条件按单位情况进行选择，选择其他则需要</w:t>
      </w:r>
      <w:r>
        <w:rPr>
          <w:rFonts w:hint="eastAsia" w:ascii="仿宋_GB2312" w:eastAsia="仿宋_GB2312"/>
          <w:sz w:val="28"/>
          <w:szCs w:val="28"/>
        </w:rPr>
        <w:t>填写相应</w:t>
      </w:r>
      <w:r>
        <w:rPr>
          <w:rFonts w:ascii="仿宋_GB2312" w:eastAsia="仿宋_GB2312"/>
          <w:sz w:val="28"/>
          <w:szCs w:val="28"/>
        </w:rPr>
        <w:t>情况，申请</w:t>
      </w:r>
      <w:r>
        <w:rPr>
          <w:rFonts w:hint="eastAsia" w:ascii="仿宋_GB2312" w:eastAsia="仿宋_GB2312"/>
          <w:sz w:val="28"/>
          <w:szCs w:val="28"/>
        </w:rPr>
        <w:t>提交</w:t>
      </w:r>
      <w:r>
        <w:rPr>
          <w:rFonts w:ascii="仿宋_GB2312" w:eastAsia="仿宋_GB2312"/>
          <w:sz w:val="28"/>
          <w:szCs w:val="28"/>
        </w:rPr>
        <w:t>材料全选</w:t>
      </w:r>
      <w:r>
        <w:rPr>
          <w:rFonts w:hint="eastAsia" w:ascii="仿宋_GB2312" w:eastAsia="仿宋_GB2312"/>
          <w:sz w:val="28"/>
          <w:szCs w:val="28"/>
        </w:rPr>
        <w:t>。</w:t>
      </w:r>
    </w:p>
    <w:p>
      <w:pPr>
        <w:rPr>
          <w:rFonts w:ascii="仿宋_GB2312" w:eastAsia="仿宋_GB2312"/>
          <w:sz w:val="28"/>
          <w:szCs w:val="28"/>
        </w:rPr>
      </w:pPr>
      <w:r>
        <w:drawing>
          <wp:inline distT="0" distB="0" distL="0" distR="0">
            <wp:extent cx="9777730" cy="341439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9777730" cy="3414395"/>
                    </a:xfrm>
                    <a:prstGeom prst="rect">
                      <a:avLst/>
                    </a:prstGeom>
                  </pic:spPr>
                </pic:pic>
              </a:graphicData>
            </a:graphic>
          </wp:inline>
        </w:drawing>
      </w:r>
    </w:p>
    <w:p>
      <w:pPr>
        <w:outlineLvl w:val="1"/>
        <w:rPr>
          <w:rFonts w:ascii="仿宋_GB2312" w:hAnsi="Arial" w:eastAsia="仿宋_GB2312"/>
          <w:b/>
          <w:sz w:val="28"/>
          <w:szCs w:val="28"/>
        </w:rPr>
      </w:pPr>
      <w:bookmarkStart w:id="13" w:name="_Toc15941"/>
      <w:r>
        <w:rPr>
          <w:rFonts w:hint="eastAsia" w:ascii="仿宋_GB2312" w:hAnsi="Arial" w:eastAsia="仿宋_GB2312"/>
          <w:b/>
          <w:sz w:val="28"/>
          <w:szCs w:val="28"/>
        </w:rPr>
        <w:t>3</w:t>
      </w:r>
      <w:r>
        <w:rPr>
          <w:rFonts w:ascii="仿宋_GB2312" w:hAnsi="Arial" w:eastAsia="仿宋_GB2312"/>
          <w:b/>
          <w:sz w:val="28"/>
          <w:szCs w:val="28"/>
        </w:rPr>
        <w:t>、信息登记</w:t>
      </w:r>
      <w:bookmarkEnd w:id="13"/>
    </w:p>
    <w:p>
      <w:pPr>
        <w:rPr>
          <w:rFonts w:ascii="仿宋_GB2312" w:eastAsia="仿宋_GB2312"/>
          <w:sz w:val="28"/>
          <w:szCs w:val="28"/>
        </w:rPr>
      </w:pPr>
      <w:r>
        <w:rPr>
          <w:rFonts w:ascii="仿宋_GB2312" w:eastAsia="仿宋_GB2312"/>
          <w:sz w:val="28"/>
          <w:szCs w:val="28"/>
        </w:rPr>
        <w:t>1）、选择缓缴后，单位信息会自动关联，其中经办人需手动填写。</w:t>
      </w:r>
    </w:p>
    <w:p>
      <w:pPr>
        <w:jc w:val="center"/>
        <w:rPr>
          <w:rFonts w:ascii="仿宋_GB2312" w:eastAsia="仿宋_GB2312"/>
          <w:sz w:val="28"/>
          <w:szCs w:val="28"/>
        </w:rPr>
      </w:pPr>
      <w:r>
        <w:drawing>
          <wp:inline distT="0" distB="0" distL="0" distR="0">
            <wp:extent cx="8220075" cy="22345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8231023" cy="2237632"/>
                    </a:xfrm>
                    <a:prstGeom prst="rect">
                      <a:avLst/>
                    </a:prstGeom>
                  </pic:spPr>
                </pic:pic>
              </a:graphicData>
            </a:graphic>
          </wp:inline>
        </w:drawing>
      </w:r>
    </w:p>
    <w:p>
      <w:pPr>
        <w:rPr>
          <w:rFonts w:ascii="仿宋_GB2312" w:eastAsia="仿宋_GB2312"/>
          <w:sz w:val="28"/>
          <w:szCs w:val="28"/>
        </w:rPr>
      </w:pPr>
      <w:r>
        <w:rPr>
          <w:rFonts w:ascii="仿宋_GB2312" w:eastAsia="仿宋_GB2312"/>
          <w:sz w:val="28"/>
          <w:szCs w:val="28"/>
        </w:rPr>
        <w:t>申请信息根据单位情况如实填写</w:t>
      </w:r>
    </w:p>
    <w:p>
      <w:pPr>
        <w:jc w:val="center"/>
        <w:rPr>
          <w:rFonts w:ascii="仿宋_GB2312" w:eastAsia="仿宋_GB2312"/>
          <w:sz w:val="28"/>
          <w:szCs w:val="28"/>
        </w:rPr>
      </w:pPr>
      <w:r>
        <w:drawing>
          <wp:inline distT="0" distB="0" distL="0" distR="0">
            <wp:extent cx="8353425" cy="32588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8382393" cy="3270646"/>
                    </a:xfrm>
                    <a:prstGeom prst="rect">
                      <a:avLst/>
                    </a:prstGeom>
                  </pic:spPr>
                </pic:pic>
              </a:graphicData>
            </a:graphic>
          </wp:inline>
        </w:drawing>
      </w:r>
    </w:p>
    <w:p>
      <w:pPr>
        <w:jc w:val="center"/>
        <w:rPr>
          <w:rFonts w:ascii="仿宋_GB2312" w:eastAsia="仿宋_GB2312"/>
          <w:sz w:val="28"/>
          <w:szCs w:val="28"/>
        </w:rPr>
      </w:pPr>
      <w:r>
        <w:drawing>
          <wp:inline distT="0" distB="0" distL="0" distR="0">
            <wp:extent cx="8362950" cy="31019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rcRect t="4507"/>
                    <a:stretch>
                      <a:fillRect/>
                    </a:stretch>
                  </pic:blipFill>
                  <pic:spPr>
                    <a:xfrm>
                      <a:off x="0" y="0"/>
                      <a:ext cx="8376710" cy="3107092"/>
                    </a:xfrm>
                    <a:prstGeom prst="rect">
                      <a:avLst/>
                    </a:prstGeom>
                    <a:ln>
                      <a:noFill/>
                    </a:ln>
                  </pic:spPr>
                </pic:pic>
              </a:graphicData>
            </a:graphic>
          </wp:inline>
        </w:drawing>
      </w:r>
    </w:p>
    <w:p>
      <w:pPr>
        <w:rPr>
          <w:rFonts w:ascii="仿宋_GB2312" w:eastAsia="仿宋_GB2312"/>
          <w:sz w:val="28"/>
          <w:szCs w:val="28"/>
        </w:rPr>
      </w:pPr>
      <w:r>
        <w:rPr>
          <w:rFonts w:ascii="仿宋_GB2312" w:eastAsia="仿宋_GB2312"/>
          <w:sz w:val="28"/>
          <w:szCs w:val="28"/>
        </w:rPr>
        <w:t>提交之后跳转到缓减免申请真实性承诺书，阅读十五秒确认，缓缴预约成功。</w:t>
      </w:r>
    </w:p>
    <w:p>
      <w:pPr>
        <w:jc w:val="center"/>
      </w:pPr>
      <w:r>
        <w:drawing>
          <wp:inline distT="0" distB="0" distL="0" distR="0">
            <wp:extent cx="8543925" cy="26187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8570643" cy="2627187"/>
                    </a:xfrm>
                    <a:prstGeom prst="rect">
                      <a:avLst/>
                    </a:prstGeom>
                  </pic:spPr>
                </pic:pic>
              </a:graphicData>
            </a:graphic>
          </wp:inline>
        </w:drawing>
      </w:r>
    </w:p>
    <w:p>
      <w:pPr>
        <w:rPr>
          <w:rFonts w:hint="eastAsia" w:ascii="仿宋_GB2312" w:eastAsia="仿宋_GB2312"/>
          <w:sz w:val="28"/>
          <w:szCs w:val="28"/>
          <w:lang w:eastAsia="zh-CN"/>
        </w:rPr>
      </w:pPr>
      <w:r>
        <w:rPr>
          <w:rFonts w:ascii="仿宋_GB2312" w:eastAsia="仿宋_GB2312"/>
          <w:sz w:val="28"/>
          <w:szCs w:val="28"/>
        </w:rPr>
        <w:t>预约成功后，等待业务部门受理预约信息，受理成功后将会通过短信形式下发到经办人手机号码，请确认经办人手机号码务必填写正确</w:t>
      </w:r>
      <w:r>
        <w:rPr>
          <w:rFonts w:hint="eastAsia" w:ascii="仿宋_GB2312" w:eastAsia="仿宋_GB2312"/>
          <w:sz w:val="28"/>
          <w:szCs w:val="28"/>
          <w:lang w:eastAsia="zh-CN"/>
        </w:rPr>
        <w:t>。</w:t>
      </w:r>
    </w:p>
    <w:p>
      <w:pPr>
        <w:rPr>
          <w:rFonts w:ascii="仿宋_GB2312" w:eastAsia="仿宋_GB2312"/>
          <w:sz w:val="28"/>
          <w:szCs w:val="28"/>
        </w:rPr>
      </w:pPr>
      <w:r>
        <w:rPr>
          <w:rFonts w:ascii="仿宋_GB2312" w:eastAsia="仿宋_GB2312"/>
          <w:sz w:val="28"/>
          <w:szCs w:val="28"/>
        </w:rPr>
        <w:t>2）选择减缴后，单位信息会自动关联，其中经办人需手动填写。</w:t>
      </w:r>
    </w:p>
    <w:p>
      <w:pPr>
        <w:jc w:val="center"/>
        <w:rPr>
          <w:rFonts w:ascii="仿宋_GB2312" w:eastAsia="仿宋_GB2312"/>
          <w:sz w:val="28"/>
          <w:szCs w:val="28"/>
        </w:rPr>
      </w:pPr>
      <w:r>
        <w:drawing>
          <wp:inline distT="0" distB="0" distL="0" distR="0">
            <wp:extent cx="9049385" cy="2438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9057380" cy="2440516"/>
                    </a:xfrm>
                    <a:prstGeom prst="rect">
                      <a:avLst/>
                    </a:prstGeom>
                  </pic:spPr>
                </pic:pic>
              </a:graphicData>
            </a:graphic>
          </wp:inline>
        </w:drawing>
      </w:r>
    </w:p>
    <w:p>
      <w:pPr>
        <w:rPr>
          <w:rFonts w:hint="eastAsia" w:ascii="仿宋_GB2312" w:eastAsia="仿宋_GB2312"/>
          <w:sz w:val="28"/>
          <w:szCs w:val="28"/>
          <w:lang w:eastAsia="zh-CN"/>
        </w:rPr>
      </w:pPr>
      <w:r>
        <w:rPr>
          <w:rFonts w:hint="eastAsia" w:ascii="仿宋_GB2312" w:eastAsia="仿宋_GB2312"/>
          <w:sz w:val="28"/>
          <w:szCs w:val="28"/>
          <w:lang w:eastAsia="zh-CN"/>
        </w:rPr>
        <w:t>减缴条件选择第一种（用人单位遇不可抗力自然灾害或其他突发事件遭受重大直接经济损失等原因导致亏损），只需</w:t>
      </w:r>
      <w:r>
        <w:rPr>
          <w:rFonts w:ascii="仿宋_GB2312" w:eastAsia="仿宋_GB2312"/>
          <w:sz w:val="28"/>
          <w:szCs w:val="28"/>
        </w:rPr>
        <w:t>填写</w:t>
      </w:r>
      <w:r>
        <w:rPr>
          <w:rFonts w:hint="eastAsia" w:ascii="仿宋_GB2312" w:eastAsia="仿宋_GB2312"/>
          <w:sz w:val="28"/>
          <w:szCs w:val="28"/>
          <w:lang w:eastAsia="zh-CN"/>
        </w:rPr>
        <w:t>第二</w:t>
      </w:r>
      <w:r>
        <w:rPr>
          <w:rFonts w:ascii="仿宋_GB2312" w:eastAsia="仿宋_GB2312"/>
          <w:sz w:val="28"/>
          <w:szCs w:val="28"/>
        </w:rPr>
        <w:t>年单位相关情况</w:t>
      </w:r>
      <w:r>
        <w:rPr>
          <w:rFonts w:hint="eastAsia" w:ascii="仿宋_GB2312" w:eastAsia="仿宋_GB2312"/>
          <w:sz w:val="28"/>
          <w:szCs w:val="28"/>
          <w:lang w:eastAsia="zh-CN"/>
        </w:rPr>
        <w:t>。</w:t>
      </w:r>
    </w:p>
    <w:p>
      <w:pPr>
        <w:jc w:val="center"/>
        <w:rPr>
          <w:rFonts w:ascii="仿宋_GB2312" w:eastAsia="仿宋_GB2312"/>
          <w:sz w:val="28"/>
          <w:szCs w:val="28"/>
        </w:rPr>
      </w:pPr>
    </w:p>
    <w:p>
      <w:pPr>
        <w:jc w:val="center"/>
      </w:pPr>
      <w:r>
        <w:drawing>
          <wp:inline distT="0" distB="0" distL="0" distR="0">
            <wp:extent cx="8623935" cy="327660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8635329" cy="3280730"/>
                    </a:xfrm>
                    <a:prstGeom prst="rect">
                      <a:avLst/>
                    </a:prstGeom>
                  </pic:spPr>
                </pic:pic>
              </a:graphicData>
            </a:graphic>
          </wp:inline>
        </w:drawing>
      </w:r>
    </w:p>
    <w:p>
      <w:pPr>
        <w:rPr>
          <w:rFonts w:hint="eastAsia" w:ascii="仿宋_GB2312" w:eastAsia="仿宋_GB2312"/>
          <w:sz w:val="28"/>
          <w:szCs w:val="28"/>
          <w:lang w:eastAsia="zh-CN"/>
        </w:rPr>
      </w:pPr>
      <w:r>
        <w:rPr>
          <w:rFonts w:hint="eastAsia" w:ascii="仿宋_GB2312" w:eastAsia="仿宋_GB2312"/>
          <w:sz w:val="28"/>
          <w:szCs w:val="28"/>
          <w:lang w:eastAsia="zh-CN"/>
        </w:rPr>
        <w:t>减缴条件选择第二种（用人单位连续两年亏损,且安排残疾人就业的比例不低于本单位在职职工总数的0.75% ,每年在职职工年平均工资不高于上年度当地社会平均工资的2倍），</w:t>
      </w:r>
      <w:r>
        <w:rPr>
          <w:rFonts w:ascii="仿宋_GB2312" w:eastAsia="仿宋_GB2312"/>
          <w:sz w:val="28"/>
          <w:szCs w:val="28"/>
        </w:rPr>
        <w:t>填写</w:t>
      </w:r>
      <w:r>
        <w:rPr>
          <w:rFonts w:hint="eastAsia" w:ascii="仿宋_GB2312" w:eastAsia="仿宋_GB2312"/>
          <w:sz w:val="28"/>
          <w:szCs w:val="28"/>
          <w:lang w:eastAsia="zh-CN"/>
        </w:rPr>
        <w:t>近两</w:t>
      </w:r>
      <w:r>
        <w:rPr>
          <w:rFonts w:ascii="仿宋_GB2312" w:eastAsia="仿宋_GB2312"/>
          <w:sz w:val="28"/>
          <w:szCs w:val="28"/>
        </w:rPr>
        <w:t>年单位相关情况</w:t>
      </w:r>
      <w:r>
        <w:rPr>
          <w:rFonts w:hint="eastAsia" w:ascii="仿宋_GB2312" w:eastAsia="仿宋_GB2312"/>
          <w:sz w:val="28"/>
          <w:szCs w:val="28"/>
          <w:lang w:eastAsia="zh-CN"/>
        </w:rPr>
        <w:t>。</w:t>
      </w:r>
    </w:p>
    <w:p>
      <w:r>
        <w:drawing>
          <wp:inline distT="0" distB="0" distL="114300" distR="114300">
            <wp:extent cx="9772015" cy="2338705"/>
            <wp:effectExtent l="0" t="0" r="63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9772015" cy="2338705"/>
                    </a:xfrm>
                    <a:prstGeom prst="rect">
                      <a:avLst/>
                    </a:prstGeom>
                    <a:noFill/>
                    <a:ln>
                      <a:noFill/>
                    </a:ln>
                  </pic:spPr>
                </pic:pic>
              </a:graphicData>
            </a:graphic>
          </wp:inline>
        </w:drawing>
      </w:r>
    </w:p>
    <w:p>
      <w:r>
        <w:drawing>
          <wp:inline distT="0" distB="0" distL="114300" distR="114300">
            <wp:extent cx="9777095" cy="3032760"/>
            <wp:effectExtent l="0" t="0" r="1460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9777095" cy="3032760"/>
                    </a:xfrm>
                    <a:prstGeom prst="rect">
                      <a:avLst/>
                    </a:prstGeom>
                    <a:noFill/>
                    <a:ln>
                      <a:noFill/>
                    </a:ln>
                  </pic:spPr>
                </pic:pic>
              </a:graphicData>
            </a:graphic>
          </wp:inline>
        </w:drawing>
      </w:r>
    </w:p>
    <w:p>
      <w:pPr>
        <w:rPr>
          <w:rFonts w:ascii="仿宋_GB2312" w:eastAsia="仿宋_GB2312"/>
          <w:sz w:val="28"/>
          <w:szCs w:val="28"/>
        </w:rPr>
      </w:pPr>
      <w:r>
        <w:rPr>
          <w:rFonts w:ascii="仿宋_GB2312" w:eastAsia="仿宋_GB2312"/>
          <w:sz w:val="28"/>
          <w:szCs w:val="28"/>
        </w:rPr>
        <w:t>提交之后跳转到缓减免申请真实性承诺书，阅读十五秒确认，减缴预约成功。</w:t>
      </w:r>
    </w:p>
    <w:p>
      <w:pPr>
        <w:jc w:val="center"/>
      </w:pPr>
      <w:r>
        <w:drawing>
          <wp:inline distT="0" distB="0" distL="0" distR="0">
            <wp:extent cx="8705850" cy="26682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8713831" cy="2671079"/>
                    </a:xfrm>
                    <a:prstGeom prst="rect">
                      <a:avLst/>
                    </a:prstGeom>
                  </pic:spPr>
                </pic:pic>
              </a:graphicData>
            </a:graphic>
          </wp:inline>
        </w:drawing>
      </w:r>
    </w:p>
    <w:p>
      <w:pPr>
        <w:rPr>
          <w:rFonts w:hint="eastAsia" w:eastAsia="仿宋_GB2312"/>
          <w:lang w:eastAsia="zh-CN"/>
        </w:rPr>
      </w:pPr>
      <w:r>
        <w:rPr>
          <w:rFonts w:ascii="仿宋_GB2312" w:eastAsia="仿宋_GB2312"/>
          <w:sz w:val="28"/>
          <w:szCs w:val="28"/>
        </w:rPr>
        <w:t>预约成功后，等待业务部门受理预约信息，受理成功后将会通过短信形式下发到经办人手机号码，请确认经办人手机号码务必填写正确</w:t>
      </w:r>
      <w:r>
        <w:rPr>
          <w:rFonts w:hint="eastAsia" w:ascii="仿宋_GB2312" w:eastAsia="仿宋_GB2312"/>
          <w:sz w:val="28"/>
          <w:szCs w:val="28"/>
          <w:lang w:eastAsia="zh-CN"/>
        </w:rPr>
        <w:t>。</w:t>
      </w:r>
    </w:p>
    <w:p>
      <w:pPr>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）、选择免缴后，单位信息会自动关联，其中经办人需手动填写。</w:t>
      </w:r>
    </w:p>
    <w:p>
      <w:pPr>
        <w:jc w:val="center"/>
        <w:rPr>
          <w:rFonts w:ascii="仿宋_GB2312" w:eastAsia="仿宋_GB2312"/>
          <w:sz w:val="28"/>
          <w:szCs w:val="28"/>
        </w:rPr>
      </w:pPr>
      <w:r>
        <w:drawing>
          <wp:inline distT="0" distB="0" distL="0" distR="0">
            <wp:extent cx="9049385" cy="2438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9057380" cy="2440516"/>
                    </a:xfrm>
                    <a:prstGeom prst="rect">
                      <a:avLst/>
                    </a:prstGeom>
                  </pic:spPr>
                </pic:pic>
              </a:graphicData>
            </a:graphic>
          </wp:inline>
        </w:drawing>
      </w:r>
    </w:p>
    <w:p>
      <w:pPr>
        <w:rPr>
          <w:rFonts w:ascii="仿宋_GB2312" w:eastAsia="仿宋_GB2312"/>
          <w:sz w:val="28"/>
          <w:szCs w:val="28"/>
        </w:rPr>
      </w:pPr>
      <w:r>
        <w:rPr>
          <w:rFonts w:ascii="仿宋_GB2312" w:eastAsia="仿宋_GB2312"/>
          <w:sz w:val="28"/>
          <w:szCs w:val="28"/>
        </w:rPr>
        <w:t>根据单位情况填写申请理由</w:t>
      </w:r>
    </w:p>
    <w:p>
      <w:pPr>
        <w:jc w:val="center"/>
        <w:rPr>
          <w:rFonts w:ascii="仿宋_GB2312" w:eastAsia="仿宋_GB2312"/>
          <w:sz w:val="28"/>
          <w:szCs w:val="28"/>
        </w:rPr>
      </w:pPr>
      <w:r>
        <w:drawing>
          <wp:inline distT="0" distB="0" distL="0" distR="0">
            <wp:extent cx="9153525" cy="23634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9157932" cy="2364719"/>
                    </a:xfrm>
                    <a:prstGeom prst="rect">
                      <a:avLst/>
                    </a:prstGeom>
                  </pic:spPr>
                </pic:pic>
              </a:graphicData>
            </a:graphic>
          </wp:inline>
        </w:drawing>
      </w:r>
    </w:p>
    <w:p>
      <w:pPr>
        <w:rPr>
          <w:rFonts w:ascii="仿宋_GB2312" w:eastAsia="仿宋_GB2312"/>
          <w:sz w:val="28"/>
          <w:szCs w:val="28"/>
        </w:rPr>
      </w:pPr>
      <w:r>
        <w:rPr>
          <w:rFonts w:ascii="仿宋_GB2312" w:eastAsia="仿宋_GB2312"/>
          <w:sz w:val="28"/>
          <w:szCs w:val="28"/>
        </w:rPr>
        <w:t>提交之后跳转到缓减免申请真实性承诺书，阅读十五秒确认，免缴预约成功。</w:t>
      </w:r>
    </w:p>
    <w:p>
      <w:pPr>
        <w:jc w:val="center"/>
      </w:pPr>
      <w:r>
        <w:drawing>
          <wp:inline distT="0" distB="0" distL="0" distR="0">
            <wp:extent cx="8705850" cy="266827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8713831" cy="2671079"/>
                    </a:xfrm>
                    <a:prstGeom prst="rect">
                      <a:avLst/>
                    </a:prstGeom>
                  </pic:spPr>
                </pic:pic>
              </a:graphicData>
            </a:graphic>
          </wp:inline>
        </w:drawing>
      </w:r>
    </w:p>
    <w:p>
      <w:pPr>
        <w:rPr>
          <w:rFonts w:hint="eastAsia" w:ascii="仿宋_GB2312" w:eastAsia="仿宋_GB2312"/>
          <w:sz w:val="28"/>
          <w:szCs w:val="28"/>
          <w:lang w:eastAsia="zh-CN"/>
        </w:rPr>
      </w:pPr>
      <w:r>
        <w:rPr>
          <w:rFonts w:ascii="仿宋_GB2312" w:eastAsia="仿宋_GB2312"/>
          <w:sz w:val="28"/>
          <w:szCs w:val="28"/>
        </w:rPr>
        <w:t>预约成功后，等待业务部门受理预约信息，受理成功后将会通过短信形式下发到经办人手机号码，请确认经办人手机号码务必填写正确</w:t>
      </w:r>
      <w:r>
        <w:rPr>
          <w:rFonts w:hint="eastAsia" w:ascii="仿宋_GB2312" w:eastAsia="仿宋_GB2312"/>
          <w:sz w:val="28"/>
          <w:szCs w:val="28"/>
          <w:lang w:eastAsia="zh-CN"/>
        </w:rPr>
        <w:t>。</w:t>
      </w:r>
    </w:p>
    <w:p>
      <w:pPr>
        <w:jc w:val="center"/>
      </w:pP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42101F"/>
    <w:multiLevelType w:val="multilevel"/>
    <w:tmpl w:val="2942101F"/>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A6E73A7"/>
    <w:multiLevelType w:val="multilevel"/>
    <w:tmpl w:val="2A6E73A7"/>
    <w:lvl w:ilvl="0" w:tentative="0">
      <w:start w:val="1"/>
      <w:numFmt w:val="decimal"/>
      <w:lvlText w:val="%1."/>
      <w:lvlJc w:val="left"/>
      <w:pPr>
        <w:ind w:left="432" w:hanging="432"/>
      </w:pPr>
      <w:rPr>
        <w:rFonts w:hint="default"/>
      </w:rPr>
    </w:lvl>
    <w:lvl w:ilvl="1" w:tentative="0">
      <w:start w:val="1"/>
      <w:numFmt w:val="decimal"/>
      <w:pStyle w:val="3"/>
      <w:lvlText w:val="%1.%2."/>
      <w:lvlJc w:val="left"/>
      <w:pPr>
        <w:ind w:left="3835" w:hanging="575"/>
      </w:pPr>
      <w:rPr>
        <w:rFonts w:cs="Times New Roman"/>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lvlText w:val="%1.%2.%3."/>
      <w:lvlJc w:val="left"/>
      <w:pPr>
        <w:ind w:left="1712"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kNmFkNjg1MWNhNWM1YTk2YzgwNjI0Mjk2YWJkNDQifQ=="/>
  </w:docVars>
  <w:rsids>
    <w:rsidRoot w:val="235E453A"/>
    <w:rsid w:val="00003EEB"/>
    <w:rsid w:val="0007197C"/>
    <w:rsid w:val="00073DFC"/>
    <w:rsid w:val="00080A0A"/>
    <w:rsid w:val="000B74D1"/>
    <w:rsid w:val="000C028B"/>
    <w:rsid w:val="000E3535"/>
    <w:rsid w:val="00101C57"/>
    <w:rsid w:val="001219C2"/>
    <w:rsid w:val="00126506"/>
    <w:rsid w:val="001A3427"/>
    <w:rsid w:val="001C4F13"/>
    <w:rsid w:val="00203203"/>
    <w:rsid w:val="00221100"/>
    <w:rsid w:val="0023033F"/>
    <w:rsid w:val="00233521"/>
    <w:rsid w:val="00255BA0"/>
    <w:rsid w:val="00272A8E"/>
    <w:rsid w:val="002B7F2E"/>
    <w:rsid w:val="002D43B1"/>
    <w:rsid w:val="00342B50"/>
    <w:rsid w:val="00346239"/>
    <w:rsid w:val="0036164B"/>
    <w:rsid w:val="00365140"/>
    <w:rsid w:val="00381B31"/>
    <w:rsid w:val="003B03BD"/>
    <w:rsid w:val="003B3481"/>
    <w:rsid w:val="003E4F32"/>
    <w:rsid w:val="0041575B"/>
    <w:rsid w:val="0043498B"/>
    <w:rsid w:val="004568F1"/>
    <w:rsid w:val="004E3775"/>
    <w:rsid w:val="004F4000"/>
    <w:rsid w:val="00514F60"/>
    <w:rsid w:val="00545EB9"/>
    <w:rsid w:val="0055569D"/>
    <w:rsid w:val="005A0818"/>
    <w:rsid w:val="005B4B32"/>
    <w:rsid w:val="005C1E61"/>
    <w:rsid w:val="005D4BE9"/>
    <w:rsid w:val="005D64EB"/>
    <w:rsid w:val="005E3CDE"/>
    <w:rsid w:val="005E6961"/>
    <w:rsid w:val="005E69F9"/>
    <w:rsid w:val="00605724"/>
    <w:rsid w:val="00653D8B"/>
    <w:rsid w:val="00663BB6"/>
    <w:rsid w:val="00692769"/>
    <w:rsid w:val="006A4645"/>
    <w:rsid w:val="006B52F8"/>
    <w:rsid w:val="006C69BF"/>
    <w:rsid w:val="006F7DB6"/>
    <w:rsid w:val="007661F6"/>
    <w:rsid w:val="008358DD"/>
    <w:rsid w:val="00852150"/>
    <w:rsid w:val="008666AB"/>
    <w:rsid w:val="0088197E"/>
    <w:rsid w:val="008C21C0"/>
    <w:rsid w:val="008E77A3"/>
    <w:rsid w:val="0091670C"/>
    <w:rsid w:val="00950C5B"/>
    <w:rsid w:val="00971BA0"/>
    <w:rsid w:val="00983FC4"/>
    <w:rsid w:val="009A1C4C"/>
    <w:rsid w:val="009A4793"/>
    <w:rsid w:val="009A4D98"/>
    <w:rsid w:val="009B5C7F"/>
    <w:rsid w:val="009C5283"/>
    <w:rsid w:val="009E2787"/>
    <w:rsid w:val="009F4488"/>
    <w:rsid w:val="009F7917"/>
    <w:rsid w:val="00A12E37"/>
    <w:rsid w:val="00A43550"/>
    <w:rsid w:val="00A647C8"/>
    <w:rsid w:val="00A9334A"/>
    <w:rsid w:val="00AA4F80"/>
    <w:rsid w:val="00AC420E"/>
    <w:rsid w:val="00AC5F3C"/>
    <w:rsid w:val="00B33B0E"/>
    <w:rsid w:val="00B33C30"/>
    <w:rsid w:val="00B33F06"/>
    <w:rsid w:val="00B34D09"/>
    <w:rsid w:val="00B6618D"/>
    <w:rsid w:val="00BD70B2"/>
    <w:rsid w:val="00C019D5"/>
    <w:rsid w:val="00C605C5"/>
    <w:rsid w:val="00C75AF9"/>
    <w:rsid w:val="00C80EBF"/>
    <w:rsid w:val="00C87587"/>
    <w:rsid w:val="00CA605B"/>
    <w:rsid w:val="00CB5A0A"/>
    <w:rsid w:val="00CE4D50"/>
    <w:rsid w:val="00CF2D0D"/>
    <w:rsid w:val="00D243D4"/>
    <w:rsid w:val="00D31EC7"/>
    <w:rsid w:val="00D466BD"/>
    <w:rsid w:val="00D53023"/>
    <w:rsid w:val="00D92843"/>
    <w:rsid w:val="00DC10B2"/>
    <w:rsid w:val="00DD611F"/>
    <w:rsid w:val="00DE27B8"/>
    <w:rsid w:val="00E067D8"/>
    <w:rsid w:val="00E845D6"/>
    <w:rsid w:val="00EB7E7D"/>
    <w:rsid w:val="00EC420D"/>
    <w:rsid w:val="00EE10E7"/>
    <w:rsid w:val="00EF7D1D"/>
    <w:rsid w:val="00F068CA"/>
    <w:rsid w:val="00F222E6"/>
    <w:rsid w:val="00F47471"/>
    <w:rsid w:val="00F73EEA"/>
    <w:rsid w:val="00F83714"/>
    <w:rsid w:val="00FA0255"/>
    <w:rsid w:val="00FA5139"/>
    <w:rsid w:val="00FB25A2"/>
    <w:rsid w:val="00FD1466"/>
    <w:rsid w:val="00FD7989"/>
    <w:rsid w:val="09D07D61"/>
    <w:rsid w:val="0EFC3F54"/>
    <w:rsid w:val="0F3605F7"/>
    <w:rsid w:val="14C60F96"/>
    <w:rsid w:val="17131EB5"/>
    <w:rsid w:val="1BD70E38"/>
    <w:rsid w:val="1F84433B"/>
    <w:rsid w:val="235E453A"/>
    <w:rsid w:val="25184E18"/>
    <w:rsid w:val="26304D18"/>
    <w:rsid w:val="28E915E3"/>
    <w:rsid w:val="2E3D4F8E"/>
    <w:rsid w:val="32C559E0"/>
    <w:rsid w:val="358655FF"/>
    <w:rsid w:val="39027305"/>
    <w:rsid w:val="3AE05386"/>
    <w:rsid w:val="3C3C11BE"/>
    <w:rsid w:val="3C641CA7"/>
    <w:rsid w:val="4148771D"/>
    <w:rsid w:val="480C52B2"/>
    <w:rsid w:val="50B024DB"/>
    <w:rsid w:val="50FF3318"/>
    <w:rsid w:val="510D6DB7"/>
    <w:rsid w:val="52EC71DD"/>
    <w:rsid w:val="585429FE"/>
    <w:rsid w:val="5ED80D4E"/>
    <w:rsid w:val="5FFD060E"/>
    <w:rsid w:val="64077120"/>
    <w:rsid w:val="670D3FCC"/>
    <w:rsid w:val="69D32697"/>
    <w:rsid w:val="6C7071A2"/>
    <w:rsid w:val="71714726"/>
    <w:rsid w:val="7DC5448A"/>
    <w:rsid w:val="7E1E6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b/>
      <w:kern w:val="44"/>
      <w:sz w:val="44"/>
    </w:rPr>
  </w:style>
  <w:style w:type="paragraph" w:styleId="3">
    <w:name w:val="heading 2"/>
    <w:basedOn w:val="1"/>
    <w:next w:val="1"/>
    <w:unhideWhenUsed/>
    <w:qFormat/>
    <w:uiPriority w:val="0"/>
    <w:pPr>
      <w:keepNext/>
      <w:keepLines/>
      <w:numPr>
        <w:ilvl w:val="1"/>
        <w:numId w:val="1"/>
      </w:numPr>
      <w:spacing w:before="140" w:after="140"/>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style>
  <w:style w:type="character" w:styleId="10">
    <w:name w:val="Hyperlink"/>
    <w:basedOn w:val="9"/>
    <w:qFormat/>
    <w:uiPriority w:val="99"/>
    <w:rPr>
      <w:color w:val="0563C1" w:themeColor="hyperlink"/>
      <w:u w:val="single"/>
      <w14:textFill>
        <w14:solidFill>
          <w14:schemeClr w14:val="hlink"/>
        </w14:solidFill>
      </w14:textFill>
    </w:rPr>
  </w:style>
  <w:style w:type="character" w:customStyle="1" w:styleId="11">
    <w:name w:val="页眉 字符"/>
    <w:basedOn w:val="9"/>
    <w:link w:val="6"/>
    <w:qFormat/>
    <w:uiPriority w:val="0"/>
    <w:rPr>
      <w:kern w:val="2"/>
      <w:sz w:val="18"/>
      <w:szCs w:val="18"/>
    </w:rPr>
  </w:style>
  <w:style w:type="character" w:customStyle="1" w:styleId="12">
    <w:name w:val="页脚 字符"/>
    <w:basedOn w:val="9"/>
    <w:link w:val="5"/>
    <w:qFormat/>
    <w:uiPriority w:val="0"/>
    <w:rPr>
      <w:kern w:val="2"/>
      <w:sz w:val="18"/>
      <w:szCs w:val="18"/>
    </w:rPr>
  </w:style>
  <w:style w:type="character" w:customStyle="1" w:styleId="13">
    <w:name w:val="Unresolved Mention"/>
    <w:basedOn w:val="9"/>
    <w:semiHidden/>
    <w:unhideWhenUsed/>
    <w:qFormat/>
    <w:uiPriority w:val="99"/>
    <w:rPr>
      <w:color w:val="605E5C"/>
      <w:shd w:val="clear" w:color="auto" w:fill="E1DFDD"/>
    </w:rPr>
  </w:style>
  <w:style w:type="character" w:customStyle="1" w:styleId="14">
    <w:name w:val="fontstyle01"/>
    <w:basedOn w:val="9"/>
    <w:qFormat/>
    <w:uiPriority w:val="0"/>
    <w:rPr>
      <w:rFonts w:hint="eastAsia" w:ascii="仿宋_GB2312" w:eastAsia="仿宋_GB2312"/>
      <w:color w:val="000000"/>
      <w:sz w:val="28"/>
      <w:szCs w:val="28"/>
    </w:rPr>
  </w:style>
  <w:style w:type="paragraph" w:styleId="15">
    <w:name w:val="List Paragraph"/>
    <w:basedOn w:val="1"/>
    <w:qFormat/>
    <w:uiPriority w:val="34"/>
    <w:pPr>
      <w:ind w:firstLine="420" w:firstLineChars="200"/>
    </w:pPr>
    <w:rPr>
      <w:szCs w:val="22"/>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3AA39-03E1-49B1-9E51-173D3875D10B}">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1168</Words>
  <Characters>1200</Characters>
  <Lines>6</Lines>
  <Paragraphs>1</Paragraphs>
  <TotalTime>5</TotalTime>
  <ScaleCrop>false</ScaleCrop>
  <LinksUpToDate>false</LinksUpToDate>
  <CharactersWithSpaces>1268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2022-02-11T02:29:00Z</dcterms:created>
  <dc:creator>Cunese °</dc:creator>
  <cp:lastModifiedBy>locus-in</cp:lastModifiedBy>
  <dcterms:modified xsi:type="dcterms:W3CDTF">2022-06-20T08:54:18Z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E74DBED8928C4804A77F72E4B8DA42BC</vt:lpwstr>
  </property>
</Properties>
</file>